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8D7" w:rsidRDefault="006258D7" w:rsidP="006258D7"/>
    <w:p w:rsidR="006258D7" w:rsidRDefault="006258D7" w:rsidP="006258D7">
      <w:pPr>
        <w:jc w:val="center"/>
        <w:rPr>
          <w:noProof/>
          <w:sz w:val="18"/>
          <w:szCs w:val="18"/>
          <w:lang w:eastAsia="es-ES"/>
        </w:rPr>
      </w:pPr>
      <w:r>
        <w:rPr>
          <w:noProof/>
          <w:sz w:val="18"/>
          <w:szCs w:val="18"/>
          <w:lang w:val="es-ES_tradnl" w:eastAsia="es-ES_tradnl"/>
        </w:rPr>
        <w:drawing>
          <wp:inline distT="0" distB="0" distL="0" distR="0">
            <wp:extent cx="666750" cy="914400"/>
            <wp:effectExtent l="19050" t="0" r="0" b="0"/>
            <wp:docPr id="1" name="Picture 4" descr="Logo final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final.ep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58D7" w:rsidRDefault="006258D7" w:rsidP="006258D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República Dominicana</w:t>
      </w:r>
    </w:p>
    <w:p w:rsidR="006258D7" w:rsidRDefault="006258D7" w:rsidP="006258D7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MINISTERIO DE TRABAJO</w:t>
      </w:r>
    </w:p>
    <w:p w:rsidR="006258D7" w:rsidRDefault="006258D7" w:rsidP="006258D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Año de la Superación del Analfabetismo</w:t>
      </w:r>
    </w:p>
    <w:p w:rsidR="006258D7" w:rsidRDefault="006258D7" w:rsidP="006258D7">
      <w:pPr>
        <w:spacing w:after="0" w:line="240" w:lineRule="auto"/>
        <w:jc w:val="center"/>
        <w:rPr>
          <w:rFonts w:ascii="Arial" w:hAnsi="Arial" w:cs="Arial"/>
          <w:noProof/>
          <w:sz w:val="18"/>
          <w:szCs w:val="18"/>
          <w:lang w:eastAsia="es-ES"/>
        </w:rPr>
      </w:pPr>
      <w:r>
        <w:rPr>
          <w:rFonts w:ascii="Arial" w:hAnsi="Arial" w:cs="Arial"/>
          <w:noProof/>
          <w:sz w:val="18"/>
          <w:szCs w:val="18"/>
          <w:lang w:eastAsia="es-ES"/>
        </w:rPr>
        <w:t>OFICINA DE ACCESO A LA INFORMACION PUBLICA</w:t>
      </w:r>
    </w:p>
    <w:p w:rsidR="006258D7" w:rsidRDefault="006258D7" w:rsidP="006258D7">
      <w:pPr>
        <w:spacing w:after="0" w:line="240" w:lineRule="auto"/>
        <w:jc w:val="center"/>
        <w:rPr>
          <w:rFonts w:ascii="Arial" w:hAnsi="Arial" w:cs="Arial"/>
          <w:b/>
          <w:noProof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CENTRO DE DOCUMENTACION</w:t>
      </w:r>
    </w:p>
    <w:p w:rsidR="006258D7" w:rsidRDefault="006258D7" w:rsidP="006258D7">
      <w:pPr>
        <w:pBdr>
          <w:top w:val="single" w:sz="4" w:space="1" w:color="31849B"/>
          <w:left w:val="single" w:sz="4" w:space="4" w:color="31849B"/>
          <w:bottom w:val="single" w:sz="4" w:space="1" w:color="31849B"/>
          <w:right w:val="single" w:sz="4" w:space="4" w:color="31849B"/>
        </w:pBdr>
        <w:jc w:val="center"/>
        <w:rPr>
          <w:rFonts w:ascii="Arial" w:hAnsi="Arial" w:cs="Arial"/>
          <w:b/>
          <w:noProof/>
          <w:color w:val="4BACC6"/>
          <w:sz w:val="18"/>
          <w:szCs w:val="18"/>
          <w:lang w:eastAsia="es-ES"/>
        </w:rPr>
      </w:pPr>
      <w:r>
        <w:rPr>
          <w:rFonts w:ascii="Arial" w:hAnsi="Arial" w:cs="Arial"/>
          <w:b/>
          <w:noProof/>
          <w:sz w:val="18"/>
          <w:szCs w:val="18"/>
          <w:lang w:eastAsia="es-ES"/>
        </w:rPr>
        <w:t>ESTADISTICAS DEL MES DE NOVIEMBRE  2014</w:t>
      </w:r>
    </w:p>
    <w:tbl>
      <w:tblPr>
        <w:tblW w:w="86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110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CA4D2A" w:rsidRPr="00CA4D2A" w:rsidTr="00CA4D2A">
        <w:trPr>
          <w:trHeight w:val="79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val="es-ES_tradnl" w:eastAsia="es-ES_tradnl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199390</wp:posOffset>
                  </wp:positionH>
                  <wp:positionV relativeFrom="paragraph">
                    <wp:posOffset>438785</wp:posOffset>
                  </wp:positionV>
                  <wp:extent cx="4895850" cy="2800350"/>
                  <wp:effectExtent l="19050" t="0" r="19050" b="0"/>
                  <wp:wrapNone/>
                  <wp:docPr id="2" name="2 Gráfico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72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0"/>
            </w:tblGrid>
            <w:tr w:rsidR="00CA4D2A" w:rsidRPr="00CA4D2A">
              <w:trPr>
                <w:trHeight w:val="72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CA4D2A" w:rsidRPr="00CA4D2A" w:rsidRDefault="00CA4D2A" w:rsidP="00CA4D2A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25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A82937" w:rsidRDefault="00A82937"/>
    <w:tbl>
      <w:tblPr>
        <w:tblW w:w="7938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976"/>
        <w:gridCol w:w="2816"/>
        <w:gridCol w:w="1276"/>
        <w:gridCol w:w="2870"/>
      </w:tblGrid>
      <w:tr w:rsidR="00CA4D2A" w:rsidRPr="00CA4D2A" w:rsidTr="00CA4D2A">
        <w:trPr>
          <w:trHeight w:val="21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CA4D2A" w:rsidRPr="00CA4D2A" w:rsidTr="00CA4D2A">
        <w:trPr>
          <w:trHeight w:val="8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69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ES"/>
              </w:rPr>
              <w:t>Servicios Ofrecidos Atreves del Centro de Documentación</w:t>
            </w:r>
          </w:p>
        </w:tc>
      </w:tr>
      <w:tr w:rsidR="00CA4D2A" w:rsidRPr="00CA4D2A" w:rsidTr="00CA4D2A">
        <w:trPr>
          <w:trHeight w:val="720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8E6F0"/>
            <w:noWrap/>
            <w:vAlign w:val="center"/>
            <w:hideMark/>
          </w:tcPr>
          <w:p w:rsidR="00CA4D2A" w:rsidRPr="00CA4D2A" w:rsidRDefault="00CA4D2A" w:rsidP="00CA4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Tipos de Usuarios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8E6F0"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  <w:t>Cantidad de Usuarios Atendidos</w:t>
            </w:r>
          </w:p>
        </w:tc>
      </w:tr>
      <w:tr w:rsidR="00CA4D2A" w:rsidRPr="00CA4D2A" w:rsidTr="00CA4D2A">
        <w:trPr>
          <w:trHeight w:val="255"/>
        </w:trPr>
        <w:tc>
          <w:tcPr>
            <w:tcW w:w="9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No.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es-ES"/>
              </w:rPr>
              <w:t>%</w:t>
            </w:r>
          </w:p>
        </w:tc>
      </w:tr>
      <w:tr w:rsidR="00CA4D2A" w:rsidRPr="00CA4D2A" w:rsidTr="00CA4D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Estudiantes Atendido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lang w:eastAsia="es-ES"/>
              </w:rPr>
              <w:t>67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48,9</w:t>
            </w:r>
          </w:p>
        </w:tc>
      </w:tr>
      <w:tr w:rsidR="00CA4D2A" w:rsidRPr="00CA4D2A" w:rsidTr="00CA4D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Investigador Independiente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lang w:eastAsia="es-ES"/>
              </w:rPr>
              <w:t>1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0,7</w:t>
            </w:r>
          </w:p>
        </w:tc>
      </w:tr>
      <w:tr w:rsidR="00CA4D2A" w:rsidRPr="00CA4D2A" w:rsidTr="00CA4D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Profesionales Atendido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lang w:eastAsia="es-ES"/>
              </w:rPr>
              <w:t>3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2,2</w:t>
            </w:r>
          </w:p>
        </w:tc>
      </w:tr>
      <w:tr w:rsidR="00CA4D2A" w:rsidRPr="00CA4D2A" w:rsidTr="00CA4D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Usuario Internos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lang w:eastAsia="es-ES"/>
              </w:rPr>
              <w:t>6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4,4</w:t>
            </w:r>
          </w:p>
        </w:tc>
      </w:tr>
      <w:tr w:rsidR="00CA4D2A" w:rsidRPr="00CA4D2A" w:rsidTr="00CA4D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Consulta Web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lang w:eastAsia="es-ES"/>
              </w:rPr>
              <w:t>25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18,2</w:t>
            </w:r>
          </w:p>
        </w:tc>
      </w:tr>
      <w:tr w:rsidR="00CA4D2A" w:rsidRPr="00CA4D2A" w:rsidTr="00CA4D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Consulta Telefónica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lang w:eastAsia="es-ES"/>
              </w:rPr>
              <w:t>35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FDB5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color w:val="000000"/>
                <w:lang w:eastAsia="es-ES"/>
              </w:rPr>
              <w:t>25,5</w:t>
            </w:r>
          </w:p>
        </w:tc>
      </w:tr>
      <w:tr w:rsidR="00CA4D2A" w:rsidRPr="00CA4D2A" w:rsidTr="00CA4D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lang w:eastAsia="es-ES"/>
              </w:rPr>
              <w:t>137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8E6F0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</w:pPr>
            <w:r w:rsidRPr="00CA4D2A">
              <w:rPr>
                <w:rFonts w:ascii="Calibri" w:eastAsia="Times New Roman" w:hAnsi="Calibri" w:cs="Times New Roman"/>
                <w:b/>
                <w:bCs/>
                <w:color w:val="000000"/>
                <w:lang w:eastAsia="es-ES"/>
              </w:rPr>
              <w:t>100,0</w:t>
            </w:r>
          </w:p>
        </w:tc>
      </w:tr>
      <w:tr w:rsidR="00CA4D2A" w:rsidRPr="00CA4D2A" w:rsidTr="00CA4D2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8"/>
                <w:szCs w:val="18"/>
                <w:lang w:eastAsia="es-ES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sz w:val="14"/>
                <w:szCs w:val="14"/>
                <w:lang w:eastAsia="es-ES"/>
              </w:rPr>
            </w:pPr>
          </w:p>
        </w:tc>
        <w:tc>
          <w:tcPr>
            <w:tcW w:w="2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D2A" w:rsidRPr="00CA4D2A" w:rsidRDefault="00CA4D2A" w:rsidP="00CA4D2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4"/>
                <w:szCs w:val="14"/>
                <w:lang w:eastAsia="es-ES"/>
              </w:rPr>
            </w:pPr>
          </w:p>
        </w:tc>
      </w:tr>
    </w:tbl>
    <w:p w:rsidR="00CA4D2A" w:rsidRDefault="00CA4D2A"/>
    <w:sectPr w:rsidR="00CA4D2A" w:rsidSect="00A829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258D7"/>
    <w:rsid w:val="00534397"/>
    <w:rsid w:val="006258D7"/>
    <w:rsid w:val="00A82937"/>
    <w:rsid w:val="00CA4D2A"/>
    <w:rsid w:val="00FC4C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8D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25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5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53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5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trinidad_martinez\Desktop\Estadisticas%20Centro%20de%20Documentaci&#243;n%202014\Centro%20de%20Documentacion%20Abril2014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s-ES_tradnl"/>
  <c:chart>
    <c:title>
      <c:tx>
        <c:rich>
          <a:bodyPr/>
          <a:lstStyle/>
          <a:p>
            <a:pPr>
              <a:defRPr lang="es-DO" sz="1600"/>
            </a:pPr>
            <a:r>
              <a:rPr lang="es-DO" sz="1600"/>
              <a:t>Tipos</a:t>
            </a:r>
            <a:r>
              <a:rPr lang="es-DO" sz="1600" baseline="0"/>
              <a:t> de Usuarios </a:t>
            </a:r>
            <a:endParaRPr lang="es-DO" sz="1600"/>
          </a:p>
        </c:rich>
      </c:tx>
      <c:overlay val="1"/>
    </c:title>
    <c:view3D>
      <c:rAngAx val="1"/>
    </c:view3D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35759951881014884"/>
          <c:y val="0.18812393016090412"/>
          <c:w val="0.54701788782426153"/>
          <c:h val="0.75448080321246069"/>
        </c:manualLayout>
      </c:layout>
      <c:bar3DChart>
        <c:barDir val="bar"/>
        <c:grouping val="stacked"/>
        <c:ser>
          <c:idx val="0"/>
          <c:order val="0"/>
          <c:spPr>
            <a:solidFill>
              <a:schemeClr val="accent3">
                <a:lumMod val="40000"/>
                <a:lumOff val="60000"/>
              </a:schemeClr>
            </a:solidFill>
          </c:spPr>
          <c:dLbls>
            <c:dLbl>
              <c:idx val="0"/>
              <c:layout>
                <c:manualLayout>
                  <c:x val="2.2222222222222292E-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0.24333997406950636"/>
                  <c:y val="0"/>
                </c:manualLayout>
              </c:layout>
              <c:showVal val="1"/>
            </c:dLbl>
            <c:dLbl>
              <c:idx val="2"/>
              <c:layout>
                <c:manualLayout>
                  <c:x val="3.6111111111111184E-2"/>
                  <c:y val="8.4875562720134405E-17"/>
                </c:manualLayout>
              </c:layout>
              <c:showVal val="1"/>
            </c:dLbl>
            <c:dLbl>
              <c:idx val="3"/>
              <c:layout>
                <c:manualLayout>
                  <c:x val="3.2128514056224911E-2"/>
                  <c:y val="-1.2023834858480563E-4"/>
                </c:manualLayout>
              </c:layout>
              <c:showVal val="1"/>
            </c:dLbl>
            <c:dLbl>
              <c:idx val="4"/>
              <c:layout>
                <c:manualLayout>
                  <c:x val="4.4444444444444522E-2"/>
                  <c:y val="-4.6296296296296433E-3"/>
                </c:manualLayout>
              </c:layout>
              <c:showVal val="1"/>
            </c:dLbl>
            <c:dLbl>
              <c:idx val="5"/>
              <c:layout>
                <c:manualLayout>
                  <c:x val="9.541494060230421E-2"/>
                  <c:y val="1.3513513513513523E-2"/>
                </c:manualLayout>
              </c:layout>
              <c:showVal val="1"/>
            </c:dLbl>
            <c:dLbl>
              <c:idx val="6"/>
              <c:layout>
                <c:manualLayout>
                  <c:x val="0.11793842034805892"/>
                  <c:y val="0"/>
                </c:manualLayout>
              </c:layout>
              <c:showVal val="1"/>
            </c:dLbl>
            <c:dLbl>
              <c:idx val="7"/>
              <c:layout>
                <c:manualLayout>
                  <c:x val="0.10555555555555562"/>
                  <c:y val="0"/>
                </c:manualLayout>
              </c:layout>
              <c:showVal val="1"/>
            </c:dLbl>
            <c:txPr>
              <a:bodyPr/>
              <a:lstStyle/>
              <a:p>
                <a:pPr>
                  <a:defRPr lang="es-DO"/>
                </a:pPr>
                <a:endParaRPr lang="es-ES_tradnl"/>
              </a:p>
            </c:txPr>
            <c:showVal val="1"/>
          </c:dLbls>
          <c:cat>
            <c:strRef>
              <c:f>Sheet1!$G$14:$G$19</c:f>
              <c:strCache>
                <c:ptCount val="6"/>
                <c:pt idx="0">
                  <c:v>Estudiantes atendido</c:v>
                </c:pt>
                <c:pt idx="1">
                  <c:v>Investigador independiente</c:v>
                </c:pt>
                <c:pt idx="2">
                  <c:v>Profesionales Atendido</c:v>
                </c:pt>
                <c:pt idx="3">
                  <c:v>Usuario Internos</c:v>
                </c:pt>
                <c:pt idx="4">
                  <c:v>Consulta Web</c:v>
                </c:pt>
                <c:pt idx="5">
                  <c:v>Consulta Telefonica</c:v>
                </c:pt>
              </c:strCache>
            </c:strRef>
          </c:cat>
          <c:val>
            <c:numRef>
              <c:f>Sheet1!$H$14:$H$19</c:f>
              <c:numCache>
                <c:formatCode>0.0</c:formatCode>
                <c:ptCount val="6"/>
                <c:pt idx="0" formatCode="General">
                  <c:v>67</c:v>
                </c:pt>
                <c:pt idx="1">
                  <c:v>1</c:v>
                </c:pt>
                <c:pt idx="2">
                  <c:v>3</c:v>
                </c:pt>
                <c:pt idx="3">
                  <c:v>6</c:v>
                </c:pt>
                <c:pt idx="4">
                  <c:v>25</c:v>
                </c:pt>
                <c:pt idx="5">
                  <c:v>35</c:v>
                </c:pt>
              </c:numCache>
            </c:numRef>
          </c:val>
        </c:ser>
        <c:shape val="cylinder"/>
        <c:axId val="149319040"/>
        <c:axId val="149423232"/>
        <c:axId val="0"/>
      </c:bar3DChart>
      <c:catAx>
        <c:axId val="149319040"/>
        <c:scaling>
          <c:orientation val="minMax"/>
        </c:scaling>
        <c:axPos val="l"/>
        <c:tickLblPos val="nextTo"/>
        <c:txPr>
          <a:bodyPr/>
          <a:lstStyle/>
          <a:p>
            <a:pPr>
              <a:defRPr lang="es-DO"/>
            </a:pPr>
            <a:endParaRPr lang="es-ES_tradnl"/>
          </a:p>
        </c:txPr>
        <c:crossAx val="149423232"/>
        <c:crosses val="autoZero"/>
        <c:auto val="1"/>
        <c:lblAlgn val="ctr"/>
        <c:lblOffset val="100"/>
      </c:catAx>
      <c:valAx>
        <c:axId val="149423232"/>
        <c:scaling>
          <c:orientation val="minMax"/>
        </c:scaling>
        <c:delete val="1"/>
        <c:axPos val="b"/>
        <c:numFmt formatCode="General" sourceLinked="1"/>
        <c:tickLblPos val="none"/>
        <c:crossAx val="149319040"/>
        <c:crosses val="autoZero"/>
        <c:crossBetween val="between"/>
      </c:valAx>
    </c:plotArea>
    <c:plotVisOnly val="1"/>
  </c:chart>
  <c:spPr>
    <a:solidFill>
      <a:schemeClr val="lt1"/>
    </a:solidFill>
    <a:ln w="25400" cap="flat" cmpd="sng" algn="ctr">
      <a:solidFill>
        <a:schemeClr val="accent5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s-ES_tradnl"/>
    </a:p>
  </c:txPr>
  <c:externalData r:id="rId1"/>
</c:chartSpac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</Words>
  <Characters>575</Characters>
  <Application>Microsoft Office Word</Application>
  <DocSecurity>0</DocSecurity>
  <Lines>4</Lines>
  <Paragraphs>1</Paragraphs>
  <ScaleCrop>false</ScaleCrop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trinidad_martinez</dc:creator>
  <cp:lastModifiedBy>patria_minerva</cp:lastModifiedBy>
  <cp:revision>2</cp:revision>
  <dcterms:created xsi:type="dcterms:W3CDTF">2014-12-15T16:48:00Z</dcterms:created>
  <dcterms:modified xsi:type="dcterms:W3CDTF">2014-12-15T16:48:00Z</dcterms:modified>
</cp:coreProperties>
</file>